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DB" w:rsidRPr="002D62DB" w:rsidRDefault="002D62DB" w:rsidP="002D62DB">
      <w:pPr>
        <w:pStyle w:val="BasicParagraph"/>
        <w:spacing w:line="240" w:lineRule="auto"/>
        <w:rPr>
          <w:rFonts w:ascii="Arial Black" w:hAnsi="Arial Black" w:cs="FrutigerLTStd-Black"/>
          <w:sz w:val="48"/>
          <w:szCs w:val="48"/>
        </w:rPr>
      </w:pPr>
      <w:r w:rsidRPr="002D62DB">
        <w:rPr>
          <w:rFonts w:ascii="Arial Black" w:hAnsi="Arial Black" w:cs="FrutigerLTStd-Black"/>
          <w:sz w:val="48"/>
          <w:szCs w:val="48"/>
        </w:rPr>
        <w:t xml:space="preserve">Parent Notice of Potential </w:t>
      </w:r>
    </w:p>
    <w:p w:rsidR="002D62DB" w:rsidRPr="002D62DB" w:rsidRDefault="002D62DB" w:rsidP="002D62DB">
      <w:pPr>
        <w:pStyle w:val="BasicParagraph"/>
        <w:spacing w:line="240" w:lineRule="auto"/>
        <w:rPr>
          <w:rFonts w:ascii="Arial Black" w:hAnsi="Arial Black" w:cs="FrutigerLTStd-Black"/>
          <w:sz w:val="48"/>
          <w:szCs w:val="48"/>
        </w:rPr>
      </w:pPr>
      <w:r w:rsidRPr="002D62DB">
        <w:rPr>
          <w:rFonts w:ascii="Arial Black" w:hAnsi="Arial Black" w:cs="FrutigerLTStd-Black"/>
          <w:sz w:val="48"/>
          <w:szCs w:val="48"/>
        </w:rPr>
        <w:t>Release of Student Information</w:t>
      </w:r>
    </w:p>
    <w:p w:rsidR="002D62DB" w:rsidRDefault="002D62DB" w:rsidP="002D62DB">
      <w:pPr>
        <w:pStyle w:val="BasicParagraph"/>
        <w:rPr>
          <w:rFonts w:ascii="FrutigerLTStd-LightItalic" w:hAnsi="FrutigerLTStd-LightItalic" w:cs="FrutigerLTStd-LightItalic"/>
          <w:i/>
          <w:iCs/>
        </w:rPr>
      </w:pPr>
      <w:r w:rsidRPr="002D62DB">
        <w:rPr>
          <w:rFonts w:ascii="FrutigerLTStd-LightItalic" w:hAnsi="FrutigerLTStd-LightItalic" w:cs="FrutigerLTStd-LightItalic"/>
          <w:i/>
          <w:iCs/>
          <w:noProof/>
        </w:rPr>
        <w:drawing>
          <wp:inline distT="0" distB="0" distL="0" distR="0" wp14:anchorId="257CC0FE" wp14:editId="3E049FD9">
            <wp:extent cx="5486400" cy="3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100"/>
                    </a:xfrm>
                    <a:prstGeom prst="rect">
                      <a:avLst/>
                    </a:prstGeom>
                    <a:noFill/>
                    <a:ln>
                      <a:noFill/>
                    </a:ln>
                  </pic:spPr>
                </pic:pic>
              </a:graphicData>
            </a:graphic>
          </wp:inline>
        </w:drawing>
      </w:r>
    </w:p>
    <w:p w:rsidR="002D62DB" w:rsidRDefault="002D62DB" w:rsidP="002D62DB">
      <w:pPr>
        <w:pStyle w:val="BasicParagraph"/>
        <w:rPr>
          <w:rFonts w:ascii="Arial" w:hAnsi="Arial" w:cs="Arial"/>
          <w:i/>
          <w:iCs/>
        </w:rPr>
      </w:pPr>
    </w:p>
    <w:p w:rsidR="002D62DB" w:rsidRPr="002D62DB" w:rsidRDefault="002D62DB" w:rsidP="002D62DB">
      <w:pPr>
        <w:pStyle w:val="BasicParagraph"/>
        <w:rPr>
          <w:rFonts w:ascii="Arial" w:hAnsi="Arial" w:cs="Arial"/>
          <w:i/>
          <w:iCs/>
        </w:rPr>
      </w:pPr>
      <w:r w:rsidRPr="002D62DB">
        <w:rPr>
          <w:rFonts w:ascii="Arial" w:hAnsi="Arial" w:cs="Arial"/>
          <w:i/>
          <w:iCs/>
        </w:rPr>
        <w:t>February 18, 2016</w:t>
      </w:r>
    </w:p>
    <w:p w:rsidR="002D62DB" w:rsidRDefault="002D62DB" w:rsidP="002D62DB">
      <w:pPr>
        <w:pStyle w:val="BasicParagraph"/>
        <w:suppressAutoHyphens/>
        <w:rPr>
          <w:rFonts w:ascii="FrutigerLTStd-Black" w:hAnsi="FrutigerLTStd-Black" w:cs="FrutigerLTStd-Black"/>
          <w:sz w:val="48"/>
          <w:szCs w:val="48"/>
        </w:rPr>
      </w:pPr>
    </w:p>
    <w:p w:rsidR="002D62DB" w:rsidRPr="002D62DB" w:rsidRDefault="002D62DB" w:rsidP="002D62DB">
      <w:pPr>
        <w:pStyle w:val="BasicParagraph"/>
        <w:suppressAutoHyphens/>
        <w:rPr>
          <w:rFonts w:ascii="Arial" w:eastAsia="FrutigerLTStd-Light" w:hAnsi="Arial" w:cs="Arial"/>
        </w:rPr>
      </w:pPr>
      <w:r w:rsidRPr="002D62DB">
        <w:rPr>
          <w:rFonts w:ascii="Arial" w:eastAsia="FrutigerLTStd-Light" w:hAnsi="Arial" w:cs="Arial"/>
        </w:rPr>
        <w:t>The California Department of Education (“CDE”) is currently e</w:t>
      </w:r>
      <w:bookmarkStart w:id="0" w:name="_GoBack"/>
      <w:bookmarkEnd w:id="0"/>
      <w:r w:rsidRPr="002D62DB">
        <w:rPr>
          <w:rFonts w:ascii="Arial" w:eastAsia="FrutigerLTStd-Light" w:hAnsi="Arial" w:cs="Arial"/>
        </w:rPr>
        <w:t>ngaged in litigation with two non-profit associations comprised of parents and guardians of children with disabilities. The plaintiffs in that litigation have requested numerous documents, as well as student data collected and stored by CDE, which may include personally identifiable student information.</w:t>
      </w:r>
    </w:p>
    <w:p w:rsidR="002D62DB" w:rsidRPr="002D62DB" w:rsidRDefault="002D62DB" w:rsidP="002D62DB">
      <w:pPr>
        <w:pStyle w:val="BasicParagraph"/>
        <w:suppressAutoHyphens/>
        <w:rPr>
          <w:rFonts w:ascii="Arial" w:eastAsia="FrutigerLTStd-Light" w:hAnsi="Arial" w:cs="Arial"/>
        </w:rPr>
      </w:pPr>
    </w:p>
    <w:p w:rsidR="002D62DB" w:rsidRPr="002D62DB" w:rsidRDefault="002D62DB" w:rsidP="002D62DB">
      <w:pPr>
        <w:pStyle w:val="BasicParagraph"/>
        <w:suppressAutoHyphens/>
        <w:rPr>
          <w:rFonts w:ascii="Arial" w:eastAsia="FrutigerLTStd-Light" w:hAnsi="Arial" w:cs="Arial"/>
        </w:rPr>
      </w:pPr>
      <w:r w:rsidRPr="002D62DB">
        <w:rPr>
          <w:rFonts w:ascii="Arial" w:eastAsia="FrutigerLTStd-Light" w:hAnsi="Arial" w:cs="Arial"/>
        </w:rPr>
        <w:t xml:space="preserve">To comply with the Family Educational Rights and Privacy Act (“FERPA”), CDE has been ordered, among other things, to inform parents and students of the disclosure of such information. CDE has requested that school districts and SELPAs post the following link to CDE’s website: </w:t>
      </w:r>
      <w:r w:rsidRPr="002D62DB">
        <w:rPr>
          <w:rFonts w:ascii="Arial" w:hAnsi="Arial" w:cs="Arial"/>
          <w:b/>
          <w:bCs/>
          <w:color w:val="00289E"/>
        </w:rPr>
        <w:t>www.cde.ca.gov/morganhillcase</w:t>
      </w:r>
      <w:r w:rsidRPr="002D62DB">
        <w:rPr>
          <w:rFonts w:ascii="Arial" w:eastAsia="FrutigerLTStd-Light" w:hAnsi="Arial" w:cs="Arial"/>
        </w:rPr>
        <w:t>.  The link provides a Notice and Objection form to allow parents to object, by April 1, 2016, to the disclosure of personally identifiable information related to their children.</w:t>
      </w:r>
    </w:p>
    <w:p w:rsidR="002D62DB" w:rsidRPr="002D62DB" w:rsidRDefault="002D62DB" w:rsidP="002D62DB">
      <w:pPr>
        <w:pStyle w:val="BasicParagraph"/>
        <w:suppressAutoHyphens/>
        <w:rPr>
          <w:rFonts w:ascii="Arial" w:eastAsia="FrutigerLTStd-Light" w:hAnsi="Arial" w:cs="Arial"/>
        </w:rPr>
      </w:pPr>
    </w:p>
    <w:p w:rsidR="002D62DB" w:rsidRPr="002D62DB" w:rsidRDefault="002D62DB" w:rsidP="002D62DB">
      <w:pPr>
        <w:pStyle w:val="BasicParagraph"/>
        <w:suppressAutoHyphens/>
        <w:rPr>
          <w:rFonts w:ascii="Arial" w:eastAsia="FrutigerLTStd-Light" w:hAnsi="Arial" w:cs="Arial"/>
        </w:rPr>
      </w:pPr>
      <w:r w:rsidRPr="002D62DB">
        <w:rPr>
          <w:rFonts w:ascii="Arial" w:eastAsia="FrutigerLTStd-Light" w:hAnsi="Arial" w:cs="Arial"/>
        </w:rPr>
        <w:t xml:space="preserve">Please understand that the district is not a party to the litigation and is not required to disclose any student information, nor does it intend to do so.  For more information, please contact CDE directly at </w:t>
      </w:r>
      <w:r w:rsidRPr="002D62DB">
        <w:rPr>
          <w:rFonts w:ascii="Arial" w:hAnsi="Arial" w:cs="Arial"/>
          <w:b/>
          <w:bCs/>
          <w:color w:val="00289E"/>
        </w:rPr>
        <w:t>(916) 319-0800</w:t>
      </w:r>
      <w:r w:rsidRPr="002D62DB">
        <w:rPr>
          <w:rFonts w:ascii="Arial" w:eastAsia="FrutigerLTStd-Light" w:hAnsi="Arial" w:cs="Arial"/>
        </w:rPr>
        <w:t>.</w:t>
      </w:r>
    </w:p>
    <w:p w:rsidR="002D62DB" w:rsidRDefault="002D62DB" w:rsidP="002D62DB">
      <w:pPr>
        <w:pStyle w:val="BasicParagraph"/>
        <w:rPr>
          <w:rFonts w:ascii="FrutigerLTStd-Light" w:eastAsia="FrutigerLTStd-Light" w:cs="FrutigerLTStd-Light"/>
        </w:rPr>
      </w:pPr>
    </w:p>
    <w:p w:rsidR="002D62DB" w:rsidRDefault="002D62DB" w:rsidP="002D62DB">
      <w:pPr>
        <w:pStyle w:val="BasicParagraph"/>
        <w:rPr>
          <w:rFonts w:ascii="FrutigerLTStd-Light" w:eastAsia="FrutigerLTStd-Light" w:cs="FrutigerLTStd-Light"/>
        </w:rPr>
      </w:pPr>
    </w:p>
    <w:p w:rsidR="00DA0B8D" w:rsidRDefault="00DA0B8D"/>
    <w:sectPr w:rsidR="00DA0B8D" w:rsidSect="002D62DB">
      <w:pgSz w:w="12240" w:h="15840"/>
      <w:pgMar w:top="2070" w:right="1260" w:bottom="126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FrutigerLTStd-Black">
    <w:altName w:val="Frutiger LT Std 75 Black"/>
    <w:panose1 w:val="00000000000000000000"/>
    <w:charset w:val="4D"/>
    <w:family w:val="auto"/>
    <w:notTrueType/>
    <w:pitch w:val="default"/>
    <w:sig w:usb0="00000003" w:usb1="00000000" w:usb2="00000000" w:usb3="00000000" w:csb0="00000001" w:csb1="00000000"/>
  </w:font>
  <w:font w:name="FrutigerLTStd-LightItalic">
    <w:altName w:val="Frutiger LT Std 45 Light"/>
    <w:panose1 w:val="020B040202020409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Light">
    <w:altName w:val="Arial Unicode MS"/>
    <w:panose1 w:val="020B0402020204020204"/>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DB"/>
    <w:rsid w:val="002D62DB"/>
    <w:rsid w:val="009D47FE"/>
    <w:rsid w:val="00AE7B85"/>
    <w:rsid w:val="00DA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A10099-2C4D-40E6-B8D5-1DEB763C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2D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D6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2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DCF5-DEE1-42FE-A6B3-66210C71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Karen Reynolds</cp:lastModifiedBy>
  <cp:revision>2</cp:revision>
  <dcterms:created xsi:type="dcterms:W3CDTF">2016-02-18T23:25:00Z</dcterms:created>
  <dcterms:modified xsi:type="dcterms:W3CDTF">2016-02-18T23:25:00Z</dcterms:modified>
</cp:coreProperties>
</file>